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CD" w:rsidRDefault="0014009C" w:rsidP="001400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Дієтична добавка</w:t>
      </w:r>
    </w:p>
    <w:p w:rsidR="0014009C" w:rsidRDefault="0014009C" w:rsidP="0014009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4009C" w:rsidRDefault="0014009C" w:rsidP="0014009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6"/>
          <w:szCs w:val="36"/>
        </w:rPr>
        <w:t>ФОРТІНАЗА</w:t>
      </w:r>
    </w:p>
    <w:p w:rsidR="0014009C" w:rsidRPr="0014009C" w:rsidRDefault="0014009C" w:rsidP="0014009C">
      <w:pPr>
        <w:rPr>
          <w:rFonts w:ascii="Times New Roman" w:hAnsi="Times New Roman" w:cs="Times New Roman"/>
          <w:b/>
          <w:sz w:val="24"/>
        </w:rPr>
      </w:pP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Склад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: 1 таблетка,</w:t>
      </w:r>
      <w:r w:rsidRPr="00E2277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вкрита кишковорозчинною оболонкою, містить серратіопептидази 10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</w:rPr>
        <w:t> 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мг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 xml:space="preserve"> (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</w:rPr>
        <w:t>mg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>)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;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i/>
          <w:kern w:val="0"/>
          <w:sz w:val="24"/>
          <w:szCs w:val="22"/>
          <w:lang w:eastAsia="en-US" w:bidi="ar-SA"/>
        </w:rPr>
        <w:t>допоміжні речовини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: </w:t>
      </w:r>
      <w:r w:rsidRPr="00E2277D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eastAsia="en-US" w:bidi="ar-SA"/>
        </w:rPr>
        <w:t>лактоза</w:t>
      </w:r>
      <w:r w:rsidR="00D71275" w:rsidRPr="00E2277D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eastAsia="en-US" w:bidi="ar-SA"/>
        </w:rPr>
        <w:t>, моногідрат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, </w:t>
      </w:r>
      <w:r w:rsidR="00D71275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наповнювач целюлоза мікрокристалічна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, </w:t>
      </w:r>
      <w:r w:rsidR="00D71275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стабілізатор натрію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кроскармелоза, </w:t>
      </w:r>
      <w:r w:rsidR="00D71275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антиспікаючі агенти: кремнію діоксид колоїдний безводний та кальцію стеарат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; </w:t>
      </w:r>
      <w:r w:rsidRPr="00E2277D">
        <w:rPr>
          <w:rFonts w:ascii="Times New Roman" w:eastAsia="Calibri" w:hAnsi="Times New Roman" w:cs="Times New Roman"/>
          <w:i/>
          <w:kern w:val="0"/>
          <w:sz w:val="24"/>
          <w:szCs w:val="22"/>
          <w:lang w:eastAsia="en-US" w:bidi="ar-SA"/>
        </w:rPr>
        <w:t>склад оболонки: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метакрилатний сополімер (тип А), триетилцитрат, тальк, </w:t>
      </w:r>
      <w:r w:rsidR="00D71275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барвник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титану діоксид, кремнію діоксид, натрію лаурилсульфат</w:t>
      </w:r>
    </w:p>
    <w:p w:rsidR="00EE7868" w:rsidRPr="00E2277D" w:rsidRDefault="00EE7868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 xml:space="preserve">Поживна (харчова) та енергетична цінність (калорійність) на 100 </w:t>
      </w:r>
      <w:r w:rsidR="002B6483"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г</w:t>
      </w: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 xml:space="preserve"> (</w:t>
      </w:r>
      <w:r w:rsidR="002B6483"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val="en-US" w:eastAsia="en-US" w:bidi="ar-SA"/>
        </w:rPr>
        <w:t>g</w:t>
      </w: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):</w:t>
      </w:r>
      <w:r w:rsidR="00EE7868"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 xml:space="preserve">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білки – 0,1 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г (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val="en-GB" w:eastAsia="en-US" w:bidi="ar-SA"/>
        </w:rPr>
        <w:t>g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)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, вуглеводи – 38,0 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г (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val="en-GB" w:eastAsia="en-US" w:bidi="ar-SA"/>
        </w:rPr>
        <w:t>g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)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, жири – 2,3 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г (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val="en-GB" w:eastAsia="en-US" w:bidi="ar-SA"/>
        </w:rPr>
        <w:t>g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)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,</w:t>
      </w:r>
      <w:r w:rsidRPr="00E2277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клітковина – 33,0 </w:t>
      </w:r>
      <w:r w:rsidR="002B6483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г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(</w:t>
      </w:r>
      <w:r w:rsidR="002B6483" w:rsidRPr="00E2277D">
        <w:rPr>
          <w:rFonts w:ascii="Times New Roman" w:eastAsia="Calibri" w:hAnsi="Times New Roman" w:cs="Times New Roman"/>
          <w:bCs/>
          <w:kern w:val="0"/>
          <w:sz w:val="24"/>
          <w:szCs w:val="22"/>
          <w:lang w:val="en-US" w:eastAsia="en-US" w:bidi="ar-SA"/>
        </w:rPr>
        <w:t>g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); 177 </w:t>
      </w:r>
      <w:r w:rsidR="00D71275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ккал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(</w:t>
      </w:r>
      <w:r w:rsidR="00D71275" w:rsidRPr="00E2277D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</w:rPr>
        <w:t>kcal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)/741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кДж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(</w:t>
      </w:r>
      <w:r w:rsidR="00883CDA" w:rsidRPr="00E2277D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</w:rPr>
        <w:t>kJ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).</w:t>
      </w:r>
    </w:p>
    <w:p w:rsidR="00EE7868" w:rsidRPr="00E2277D" w:rsidRDefault="00EE7868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eastAsia="en-US" w:bidi="ar-SA"/>
        </w:rPr>
        <w:t>Без ГМО.</w:t>
      </w:r>
    </w:p>
    <w:p w:rsidR="00EE7868" w:rsidRPr="00E2277D" w:rsidRDefault="00EE7868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eastAsia="en-US" w:bidi="ar-SA"/>
        </w:rPr>
      </w:pP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 xml:space="preserve">Рекомендації </w:t>
      </w:r>
      <w:r w:rsidR="00EC4CAD"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щодо споживання</w:t>
      </w:r>
      <w:r w:rsidRPr="00E2277D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eastAsia="en-US" w:bidi="ar-SA"/>
        </w:rPr>
        <w:t>: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дієтична добавка може бути рекомендована лікарем для використання в раціонах дієтичного харчування дітям від 12 років та дорослим як джерело високоактивного протеолітичного ферменту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 xml:space="preserve">– </w:t>
      </w:r>
      <w:r w:rsidRPr="00E2277D">
        <w:rPr>
          <w:rFonts w:ascii="Times New Roman" w:eastAsia="Calibri" w:hAnsi="Times New Roman" w:cs="Times New Roman"/>
          <w:i/>
          <w:kern w:val="0"/>
          <w:sz w:val="24"/>
          <w:szCs w:val="22"/>
          <w:lang w:val="ru-RU" w:eastAsia="en-US" w:bidi="ar-SA"/>
        </w:rPr>
        <w:t>с</w:t>
      </w:r>
      <w:r w:rsidRPr="00E2277D">
        <w:rPr>
          <w:rFonts w:ascii="Times New Roman" w:eastAsia="Calibri" w:hAnsi="Times New Roman" w:cs="Times New Roman"/>
          <w:i/>
          <w:kern w:val="0"/>
          <w:sz w:val="24"/>
          <w:szCs w:val="22"/>
          <w:lang w:eastAsia="en-US" w:bidi="ar-SA"/>
        </w:rPr>
        <w:t>ерратіопептидаз</w:t>
      </w:r>
      <w:r w:rsidRPr="00E2277D">
        <w:rPr>
          <w:rFonts w:ascii="Times New Roman" w:eastAsia="Calibri" w:hAnsi="Times New Roman" w:cs="Times New Roman"/>
          <w:i/>
          <w:kern w:val="0"/>
          <w:sz w:val="24"/>
          <w:szCs w:val="22"/>
          <w:lang w:val="ru-RU" w:eastAsia="en-US" w:bidi="ar-SA"/>
        </w:rPr>
        <w:t>и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>–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при широкому спектрі патологій, в основі яких лежить запалення.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i/>
          <w:kern w:val="0"/>
          <w:sz w:val="24"/>
          <w:szCs w:val="22"/>
          <w:lang w:eastAsia="en-US" w:bidi="ar-SA"/>
        </w:rPr>
        <w:t xml:space="preserve">Серратіопептидаза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- протеолітичний фермент, отриманий з ентеробактерій </w:t>
      </w:r>
      <w:r w:rsidRPr="00E2277D">
        <w:rPr>
          <w:rFonts w:ascii="Times New Roman" w:eastAsia="Calibri" w:hAnsi="Times New Roman" w:cs="Times New Roman"/>
          <w:i/>
          <w:kern w:val="0"/>
          <w:sz w:val="24"/>
          <w:szCs w:val="22"/>
          <w:lang w:eastAsia="en-US" w:bidi="ar-SA"/>
        </w:rPr>
        <w:t>Serratia marcescences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. Проявляє протизапальну, імуномодулюючу, фібринолітичну, протинабрякову і антиагрегантну дії. 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ФОРТІНАЗА випускається в спеціальних таблетках, вкритих кишковорозчинною оболонкою, яка не допускає контакту серратіопептидази з агресивним середовищем шлунку і доставляє фермент безпосередньо у тонкий кишечник.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Рекомендовано дотримуватися збалансованого раціону харчування, обмежувати цукор, сіль, солодощі, алкоголь.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Дієтичну добавку не слід використовувати як заміну повноцінного раціону харчування.</w:t>
      </w:r>
    </w:p>
    <w:p w:rsidR="00EE7868" w:rsidRPr="00E2277D" w:rsidRDefault="00EE7868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CB7DCD" w:rsidRPr="00E2277D" w:rsidRDefault="00EE7868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Спосіб застосування та рекомендована добова кількість:</w:t>
      </w:r>
      <w:r w:rsidR="00CB7DCD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дітям віком від 12 років та дорослим вживати по 1 таблетці 2 рази на добу після вживання їжі. Таблетку слід ковтати, </w:t>
      </w:r>
      <w:r w:rsidR="00CB7DCD" w:rsidRPr="00E2277D">
        <w:rPr>
          <w:rFonts w:ascii="Times New Roman" w:eastAsia="Calibri" w:hAnsi="Times New Roman" w:cs="Times New Roman"/>
          <w:i/>
          <w:kern w:val="0"/>
          <w:sz w:val="24"/>
          <w:szCs w:val="22"/>
          <w:u w:val="single"/>
          <w:lang w:eastAsia="en-US" w:bidi="ar-SA"/>
        </w:rPr>
        <w:t>не розжовуючи</w:t>
      </w:r>
      <w:r w:rsidR="00CB7DCD"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, та запивати однією склянкою води.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Максимальна рекомендована добова доза – 30 мг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 xml:space="preserve"> (</w:t>
      </w:r>
      <w:r w:rsidRPr="00E2277D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3 таблетки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>)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.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Доза та тривалість курсу вживання визначаються у кожному випадку індивідуально лікарем.</w:t>
      </w:r>
    </w:p>
    <w:p w:rsidR="00EE7868" w:rsidRPr="00E2277D" w:rsidRDefault="00EE7868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Застереження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: не вживати при гіперчутливості (алергії) до діючих речовин або до будь-якого іншого компоненту продукту.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>Н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е вживати 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>при п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орушення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>х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згортання крові.</w:t>
      </w:r>
      <w:r w:rsidRPr="00E2277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Не перевищувати зазначену рекомендовану кількість (порцію) для щоденного споживання.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Не вживати після закінчення терміну придатності, зазначеного на упаковці.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Перед застосуванням рекомендована консультація лікаря.</w:t>
      </w:r>
    </w:p>
    <w:p w:rsidR="0073116D" w:rsidRPr="00E2277D" w:rsidRDefault="0073116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Вагітність та годування груддю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. Проконсультуйтеся із Вашим лікарем перед вживанням продукту.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Дієтична добавка.</w:t>
      </w: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Не є лікарським засобом.</w:t>
      </w:r>
    </w:p>
    <w:p w:rsidR="0073116D" w:rsidRPr="00E2277D" w:rsidRDefault="0073116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lastRenderedPageBreak/>
        <w:t>Форма випуску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: Таблетки, вкриті кишковорозчинною оболонкою, №60 (30х2) у блістерах.</w:t>
      </w:r>
    </w:p>
    <w:p w:rsidR="0073116D" w:rsidRPr="00E2277D" w:rsidRDefault="0073116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2B6483" w:rsidRPr="00E2277D" w:rsidRDefault="002B6483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</w:pPr>
      <w:r w:rsidRPr="00E2277D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ru-RU" w:eastAsia="en-US" w:bidi="ar-SA"/>
        </w:rPr>
        <w:t>Маса нетто таблетки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  <w:t>: 100 мг (mg).</w:t>
      </w:r>
    </w:p>
    <w:p w:rsidR="0073116D" w:rsidRPr="00E2277D" w:rsidRDefault="0073116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val="ru-RU" w:eastAsia="en-US" w:bidi="ar-SA"/>
        </w:rPr>
      </w:pPr>
    </w:p>
    <w:p w:rsidR="002B6483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Умови зберігання</w:t>
      </w:r>
      <w:r w:rsidRPr="00E2277D">
        <w:rPr>
          <w:rFonts w:ascii="Times New Roman" w:eastAsia="Calibri" w:hAnsi="Times New Roman" w:cs="Times New Roman"/>
          <w:bCs/>
          <w:kern w:val="0"/>
          <w:sz w:val="24"/>
          <w:szCs w:val="22"/>
          <w:lang w:val="ru-RU" w:eastAsia="en-US" w:bidi="ar-SA"/>
        </w:rPr>
        <w:t>:</w:t>
      </w: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 xml:space="preserve"> </w:t>
      </w:r>
      <w:r w:rsidRPr="00E2277D">
        <w:rPr>
          <w:rFonts w:ascii="Times New Roman" w:hAnsi="Times New Roman" w:cs="Times New Roman"/>
          <w:sz w:val="24"/>
        </w:rPr>
        <w:t>в оригінальній упаковці, в сухому, захищеному від світла місці, за температури не вище 30 °C.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</w:t>
      </w:r>
      <w:r w:rsidRPr="00E2277D">
        <w:rPr>
          <w:rFonts w:ascii="Times New Roman" w:hAnsi="Times New Roman" w:cs="Times New Roman"/>
          <w:sz w:val="24"/>
        </w:rPr>
        <w:t>Зберігати у недоступному для дітей місці.</w:t>
      </w:r>
    </w:p>
    <w:p w:rsidR="0073116D" w:rsidRPr="00E2277D" w:rsidRDefault="0073116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val="ru-RU" w:eastAsia="en-US" w:bidi="ar-SA"/>
        </w:rPr>
        <w:t>С</w:t>
      </w: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трок придатності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:</w:t>
      </w:r>
      <w:r w:rsidRPr="00E2277D">
        <w:rPr>
          <w:rFonts w:ascii="Times New Roman" w:hAnsi="Times New Roman" w:cs="Times New Roman"/>
          <w:sz w:val="24"/>
        </w:rPr>
        <w:t xml:space="preserve"> 3 роки від дати виробництва.</w:t>
      </w:r>
    </w:p>
    <w:p w:rsidR="0073116D" w:rsidRPr="00E2277D" w:rsidRDefault="0073116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Кінцева дата споживання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: дивись на етикетці (упаковці).</w:t>
      </w:r>
    </w:p>
    <w:p w:rsidR="0073116D" w:rsidRPr="00E2277D" w:rsidRDefault="0073116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CB7DCD" w:rsidRPr="00E2277D" w:rsidRDefault="00CB7DC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E2277D">
        <w:rPr>
          <w:rFonts w:ascii="Times New Roman" w:eastAsia="Calibri" w:hAnsi="Times New Roman" w:cs="Times New Roman"/>
          <w:b/>
          <w:kern w:val="0"/>
          <w:sz w:val="24"/>
          <w:szCs w:val="22"/>
          <w:lang w:eastAsia="en-US" w:bidi="ar-SA"/>
        </w:rPr>
        <w:t>№ партії (серії):</w:t>
      </w:r>
      <w:r w:rsidRPr="00E2277D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дивись на етикетці (упаковці).</w:t>
      </w:r>
    </w:p>
    <w:p w:rsidR="0073116D" w:rsidRPr="00E2277D" w:rsidRDefault="0073116D" w:rsidP="00EE7868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</w:p>
    <w:p w:rsidR="007056C2" w:rsidRPr="00E2277D" w:rsidRDefault="00913A20" w:rsidP="00EE7868">
      <w:pPr>
        <w:pStyle w:val="Textbody"/>
        <w:spacing w:line="276" w:lineRule="auto"/>
        <w:jc w:val="left"/>
        <w:rPr>
          <w:color w:val="000000"/>
          <w:sz w:val="24"/>
          <w:szCs w:val="24"/>
        </w:rPr>
      </w:pPr>
      <w:r w:rsidRPr="00E2277D">
        <w:rPr>
          <w:rStyle w:val="A00"/>
          <w:b/>
          <w:bCs/>
          <w:sz w:val="24"/>
          <w:szCs w:val="24"/>
        </w:rPr>
        <w:t xml:space="preserve">Замовник </w:t>
      </w:r>
      <w:r w:rsidRPr="00E2277D">
        <w:rPr>
          <w:b/>
          <w:sz w:val="24"/>
          <w:szCs w:val="24"/>
        </w:rPr>
        <w:t>(</w:t>
      </w:r>
      <w:r w:rsidR="007056C2" w:rsidRPr="00E2277D">
        <w:rPr>
          <w:b/>
          <w:bCs/>
          <w:color w:val="000000"/>
          <w:sz w:val="24"/>
          <w:szCs w:val="24"/>
        </w:rPr>
        <w:t>здійснює функції щодо прийняття претензій від споживача</w:t>
      </w:r>
      <w:r w:rsidR="00D73570" w:rsidRPr="00E2277D">
        <w:rPr>
          <w:b/>
          <w:sz w:val="24"/>
          <w:szCs w:val="24"/>
        </w:rPr>
        <w:t xml:space="preserve"> та відповідальний за інформацію про дієтичну добавку</w:t>
      </w:r>
      <w:r w:rsidR="007056C2" w:rsidRPr="00E2277D">
        <w:rPr>
          <w:b/>
          <w:bCs/>
          <w:color w:val="000000"/>
          <w:sz w:val="24"/>
          <w:szCs w:val="24"/>
        </w:rPr>
        <w:t>):</w:t>
      </w:r>
      <w:r w:rsidR="007056C2" w:rsidRPr="00E2277D">
        <w:rPr>
          <w:color w:val="000000"/>
          <w:sz w:val="24"/>
          <w:szCs w:val="24"/>
        </w:rPr>
        <w:t> </w:t>
      </w:r>
    </w:p>
    <w:p w:rsidR="00BE4D12" w:rsidRPr="00E2277D" w:rsidRDefault="00913A20" w:rsidP="00EE7868">
      <w:pPr>
        <w:pStyle w:val="Textbody"/>
        <w:spacing w:line="276" w:lineRule="auto"/>
        <w:jc w:val="left"/>
        <w:rPr>
          <w:color w:val="000000"/>
          <w:sz w:val="24"/>
          <w:szCs w:val="24"/>
        </w:rPr>
      </w:pPr>
      <w:r w:rsidRPr="00E2277D">
        <w:rPr>
          <w:color w:val="000000"/>
          <w:sz w:val="24"/>
          <w:szCs w:val="24"/>
        </w:rPr>
        <w:t xml:space="preserve">ТОВ «Медвестснаб», </w:t>
      </w:r>
      <w:r w:rsidR="00BE4D12" w:rsidRPr="00E2277D">
        <w:rPr>
          <w:color w:val="000000"/>
          <w:sz w:val="24"/>
          <w:szCs w:val="24"/>
        </w:rPr>
        <w:t>вул. Вітряні Гори, буд. 3 літера А, м. Київ, 04123, Україна.</w:t>
      </w:r>
    </w:p>
    <w:p w:rsidR="00913A20" w:rsidRPr="00E2277D" w:rsidRDefault="00BE4D12" w:rsidP="00EE7868">
      <w:pPr>
        <w:pStyle w:val="Textbody"/>
        <w:spacing w:line="276" w:lineRule="auto"/>
        <w:jc w:val="left"/>
        <w:rPr>
          <w:color w:val="000000"/>
          <w:sz w:val="24"/>
          <w:szCs w:val="24"/>
        </w:rPr>
      </w:pPr>
      <w:r w:rsidRPr="00E2277D">
        <w:rPr>
          <w:color w:val="000000"/>
          <w:sz w:val="24"/>
          <w:szCs w:val="24"/>
        </w:rPr>
        <w:t xml:space="preserve">Тел.: +380 44 464 14 </w:t>
      </w:r>
      <w:r w:rsidR="00913A20" w:rsidRPr="00E2277D">
        <w:rPr>
          <w:color w:val="000000"/>
          <w:sz w:val="24"/>
          <w:szCs w:val="24"/>
        </w:rPr>
        <w:t>01, e-mail: office@medwestsnab.com.ua</w:t>
      </w:r>
      <w:r w:rsidRPr="00E2277D">
        <w:rPr>
          <w:color w:val="000000"/>
          <w:sz w:val="24"/>
          <w:szCs w:val="24"/>
        </w:rPr>
        <w:t>.</w:t>
      </w:r>
    </w:p>
    <w:p w:rsidR="00913A20" w:rsidRPr="00E2277D" w:rsidRDefault="00913A20" w:rsidP="00EE7868">
      <w:pPr>
        <w:pStyle w:val="Textbody"/>
        <w:spacing w:line="276" w:lineRule="auto"/>
        <w:jc w:val="left"/>
        <w:rPr>
          <w:b/>
          <w:sz w:val="24"/>
          <w:szCs w:val="24"/>
          <w:lang w:val="ru-RU"/>
        </w:rPr>
      </w:pPr>
      <w:r w:rsidRPr="00E2277D">
        <w:rPr>
          <w:b/>
          <w:sz w:val="24"/>
          <w:szCs w:val="24"/>
        </w:rPr>
        <w:t>Виробни</w:t>
      </w:r>
      <w:r w:rsidR="008A6EEF" w:rsidRPr="00E2277D">
        <w:rPr>
          <w:b/>
          <w:sz w:val="24"/>
          <w:szCs w:val="24"/>
          <w:lang w:val="ru-RU"/>
        </w:rPr>
        <w:t>к</w:t>
      </w:r>
      <w:r w:rsidRPr="00E2277D">
        <w:rPr>
          <w:b/>
          <w:sz w:val="24"/>
          <w:szCs w:val="24"/>
        </w:rPr>
        <w:t xml:space="preserve"> </w:t>
      </w:r>
      <w:r w:rsidR="008A6EEF" w:rsidRPr="00E2277D">
        <w:rPr>
          <w:b/>
          <w:sz w:val="24"/>
          <w:szCs w:val="24"/>
          <w:lang w:val="ru-RU"/>
        </w:rPr>
        <w:t>за</w:t>
      </w:r>
      <w:r w:rsidRPr="00E2277D">
        <w:rPr>
          <w:b/>
          <w:sz w:val="24"/>
          <w:szCs w:val="24"/>
        </w:rPr>
        <w:t xml:space="preserve"> контракт</w:t>
      </w:r>
      <w:r w:rsidR="008A6EEF" w:rsidRPr="00E2277D">
        <w:rPr>
          <w:b/>
          <w:sz w:val="24"/>
          <w:szCs w:val="24"/>
          <w:lang w:val="ru-RU"/>
        </w:rPr>
        <w:t>ом</w:t>
      </w:r>
      <w:r w:rsidRPr="00E2277D">
        <w:rPr>
          <w:b/>
          <w:sz w:val="24"/>
          <w:szCs w:val="24"/>
        </w:rPr>
        <w:t xml:space="preserve"> (н</w:t>
      </w:r>
      <w:r w:rsidRPr="00E2277D">
        <w:rPr>
          <w:b/>
          <w:kern w:val="0"/>
          <w:sz w:val="24"/>
          <w:szCs w:val="24"/>
        </w:rPr>
        <w:t>айменування та місцезнаходження виробничих потужностей):</w:t>
      </w:r>
      <w:r w:rsidRPr="00E2277D">
        <w:rPr>
          <w:b/>
          <w:sz w:val="24"/>
          <w:szCs w:val="24"/>
        </w:rPr>
        <w:t xml:space="preserve"> </w:t>
      </w:r>
    </w:p>
    <w:p w:rsidR="00913A20" w:rsidRPr="00E2277D" w:rsidRDefault="00913A20" w:rsidP="00EE7868">
      <w:pPr>
        <w:pStyle w:val="Textbody"/>
        <w:spacing w:line="276" w:lineRule="auto"/>
        <w:jc w:val="left"/>
        <w:rPr>
          <w:color w:val="000000"/>
          <w:sz w:val="24"/>
          <w:szCs w:val="24"/>
        </w:rPr>
      </w:pPr>
      <w:r w:rsidRPr="00E2277D">
        <w:rPr>
          <w:color w:val="000000"/>
          <w:sz w:val="24"/>
          <w:szCs w:val="24"/>
        </w:rPr>
        <w:t>ТОВ «АСТРАФАРМ», вул. Київська, 6, м. Вишневе, Бучанський р-н, Київська обл., 08132, Україна.</w:t>
      </w:r>
      <w:r w:rsidR="008A6EEF" w:rsidRPr="00E2277D">
        <w:rPr>
          <w:color w:val="000000"/>
          <w:sz w:val="24"/>
          <w:szCs w:val="24"/>
          <w:lang w:val="ru-RU"/>
        </w:rPr>
        <w:t xml:space="preserve"> </w:t>
      </w:r>
      <w:r w:rsidRPr="00E2277D">
        <w:rPr>
          <w:color w:val="000000"/>
          <w:sz w:val="24"/>
          <w:szCs w:val="24"/>
        </w:rPr>
        <w:t>Тел.: +380 44 239 08 99. </w:t>
      </w:r>
    </w:p>
    <w:p w:rsidR="00110AB6" w:rsidRPr="00E2277D" w:rsidRDefault="00110AB6" w:rsidP="00747AD8">
      <w:pPr>
        <w:pStyle w:val="Textbody"/>
        <w:spacing w:line="276" w:lineRule="auto"/>
        <w:rPr>
          <w:color w:val="000000"/>
          <w:sz w:val="24"/>
          <w:szCs w:val="24"/>
        </w:rPr>
      </w:pPr>
    </w:p>
    <w:p w:rsidR="00110AB6" w:rsidRPr="00E2277D" w:rsidRDefault="00110AB6" w:rsidP="00747AD8">
      <w:pPr>
        <w:pStyle w:val="Textbody"/>
        <w:spacing w:line="276" w:lineRule="auto"/>
        <w:rPr>
          <w:color w:val="000000"/>
          <w:sz w:val="24"/>
          <w:szCs w:val="24"/>
        </w:rPr>
      </w:pPr>
    </w:p>
    <w:p w:rsidR="004355BF" w:rsidRDefault="004355BF" w:rsidP="00747AD8">
      <w:pPr>
        <w:pStyle w:val="Textbody"/>
        <w:spacing w:line="276" w:lineRule="auto"/>
        <w:rPr>
          <w:color w:val="000000"/>
          <w:sz w:val="24"/>
          <w:szCs w:val="24"/>
        </w:rPr>
      </w:pPr>
    </w:p>
    <w:sectPr w:rsidR="004355BF" w:rsidSect="00C239EF">
      <w:footerReference w:type="default" r:id="rId6"/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A9" w:rsidRDefault="004B1AA9" w:rsidP="00F53809">
      <w:r>
        <w:separator/>
      </w:r>
    </w:p>
  </w:endnote>
  <w:endnote w:type="continuationSeparator" w:id="0">
    <w:p w:rsidR="004B1AA9" w:rsidRDefault="004B1AA9" w:rsidP="00F5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Cs w:val="20"/>
      </w:rPr>
      <w:id w:val="6534219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53809" w:rsidRPr="00F53809" w:rsidRDefault="00F53809" w:rsidP="00F53809">
            <w:pPr>
              <w:pStyle w:val="ac"/>
              <w:jc w:val="right"/>
              <w:rPr>
                <w:rFonts w:ascii="Times New Roman" w:hAnsi="Times New Roman" w:cs="Times New Roman"/>
                <w:szCs w:val="20"/>
              </w:rPr>
            </w:pPr>
            <w:r w:rsidRPr="00F53809">
              <w:rPr>
                <w:rFonts w:ascii="Times New Roman" w:hAnsi="Times New Roman" w:cs="Times New Roman"/>
                <w:szCs w:val="20"/>
                <w:lang w:val="ru-RU"/>
              </w:rPr>
              <w:t>стор</w:t>
            </w:r>
            <w:r w:rsidRPr="00F53809">
              <w:rPr>
                <w:rFonts w:ascii="Times New Roman" w:hAnsi="Times New Roman" w:cs="Times New Roman"/>
                <w:szCs w:val="20"/>
              </w:rPr>
              <w:t xml:space="preserve">інка </w:t>
            </w:r>
            <w:r w:rsidRPr="00F53809">
              <w:rPr>
                <w:rFonts w:ascii="Times New Roman" w:hAnsi="Times New Roman" w:cs="Times New Roman"/>
                <w:szCs w:val="20"/>
              </w:rPr>
              <w:fldChar w:fldCharType="begin"/>
            </w:r>
            <w:r w:rsidRPr="00F53809">
              <w:rPr>
                <w:rFonts w:ascii="Times New Roman" w:hAnsi="Times New Roman" w:cs="Times New Roman"/>
                <w:szCs w:val="20"/>
              </w:rPr>
              <w:instrText xml:space="preserve"> PAGE </w:instrText>
            </w:r>
            <w:r w:rsidRPr="00F53809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481A5D">
              <w:rPr>
                <w:rFonts w:ascii="Times New Roman" w:hAnsi="Times New Roman" w:cs="Times New Roman"/>
                <w:noProof/>
                <w:szCs w:val="20"/>
              </w:rPr>
              <w:t>1</w:t>
            </w:r>
            <w:r w:rsidRPr="00F53809">
              <w:rPr>
                <w:rFonts w:ascii="Times New Roman" w:hAnsi="Times New Roman" w:cs="Times New Roman"/>
                <w:szCs w:val="20"/>
              </w:rPr>
              <w:fldChar w:fldCharType="end"/>
            </w:r>
            <w:r w:rsidRPr="00F53809">
              <w:rPr>
                <w:rFonts w:ascii="Times New Roman" w:hAnsi="Times New Roman" w:cs="Times New Roman"/>
                <w:szCs w:val="20"/>
              </w:rPr>
              <w:t xml:space="preserve"> із </w:t>
            </w:r>
            <w:r w:rsidRPr="00F53809">
              <w:rPr>
                <w:rFonts w:ascii="Times New Roman" w:hAnsi="Times New Roman" w:cs="Times New Roman"/>
                <w:szCs w:val="20"/>
              </w:rPr>
              <w:fldChar w:fldCharType="begin"/>
            </w:r>
            <w:r w:rsidRPr="00F53809">
              <w:rPr>
                <w:rFonts w:ascii="Times New Roman" w:hAnsi="Times New Roman" w:cs="Times New Roman"/>
                <w:szCs w:val="20"/>
              </w:rPr>
              <w:instrText xml:space="preserve"> NUMPAGES  </w:instrText>
            </w:r>
            <w:r w:rsidRPr="00F53809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="00481A5D">
              <w:rPr>
                <w:rFonts w:ascii="Times New Roman" w:hAnsi="Times New Roman" w:cs="Times New Roman"/>
                <w:noProof/>
                <w:szCs w:val="20"/>
              </w:rPr>
              <w:t>2</w:t>
            </w:r>
            <w:r w:rsidRPr="00F53809">
              <w:rPr>
                <w:rFonts w:ascii="Times New Roman" w:hAnsi="Times New Roman" w:cs="Times New Roman"/>
                <w:szCs w:val="20"/>
              </w:rPr>
              <w:fldChar w:fldCharType="end"/>
            </w:r>
          </w:p>
        </w:sdtContent>
      </w:sdt>
    </w:sdtContent>
  </w:sdt>
  <w:p w:rsidR="00F53809" w:rsidRDefault="00F538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A9" w:rsidRDefault="004B1AA9" w:rsidP="00F53809">
      <w:r>
        <w:separator/>
      </w:r>
    </w:p>
  </w:footnote>
  <w:footnote w:type="continuationSeparator" w:id="0">
    <w:p w:rsidR="004B1AA9" w:rsidRDefault="004B1AA9" w:rsidP="00F5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C2"/>
    <w:rsid w:val="000744D4"/>
    <w:rsid w:val="000A047F"/>
    <w:rsid w:val="00110AB6"/>
    <w:rsid w:val="00111161"/>
    <w:rsid w:val="001367B7"/>
    <w:rsid w:val="0014009C"/>
    <w:rsid w:val="00175CAF"/>
    <w:rsid w:val="00184852"/>
    <w:rsid w:val="00190AA1"/>
    <w:rsid w:val="00225D54"/>
    <w:rsid w:val="002405AF"/>
    <w:rsid w:val="0025204E"/>
    <w:rsid w:val="00260DA3"/>
    <w:rsid w:val="002B2B43"/>
    <w:rsid w:val="002B6483"/>
    <w:rsid w:val="002D4C5D"/>
    <w:rsid w:val="00302895"/>
    <w:rsid w:val="00357535"/>
    <w:rsid w:val="00423EFA"/>
    <w:rsid w:val="004355BF"/>
    <w:rsid w:val="004575C4"/>
    <w:rsid w:val="00463902"/>
    <w:rsid w:val="00481A5D"/>
    <w:rsid w:val="00482EFB"/>
    <w:rsid w:val="004B1AA9"/>
    <w:rsid w:val="004B5A6C"/>
    <w:rsid w:val="004F7D22"/>
    <w:rsid w:val="005017EA"/>
    <w:rsid w:val="00527B87"/>
    <w:rsid w:val="005B6B2B"/>
    <w:rsid w:val="00623A17"/>
    <w:rsid w:val="00653E0C"/>
    <w:rsid w:val="00690B00"/>
    <w:rsid w:val="0069110F"/>
    <w:rsid w:val="006C0C0E"/>
    <w:rsid w:val="006C7FE1"/>
    <w:rsid w:val="007056C2"/>
    <w:rsid w:val="0073116D"/>
    <w:rsid w:val="00747AD8"/>
    <w:rsid w:val="007A0718"/>
    <w:rsid w:val="00883CDA"/>
    <w:rsid w:val="008A6EEF"/>
    <w:rsid w:val="008C7C96"/>
    <w:rsid w:val="008F0729"/>
    <w:rsid w:val="008F588E"/>
    <w:rsid w:val="00913A20"/>
    <w:rsid w:val="00931861"/>
    <w:rsid w:val="009B12B6"/>
    <w:rsid w:val="00A03B7B"/>
    <w:rsid w:val="00A1743F"/>
    <w:rsid w:val="00A41AD0"/>
    <w:rsid w:val="00A5100F"/>
    <w:rsid w:val="00A61E2C"/>
    <w:rsid w:val="00AE0AA4"/>
    <w:rsid w:val="00B23CFC"/>
    <w:rsid w:val="00BD2697"/>
    <w:rsid w:val="00BE4D12"/>
    <w:rsid w:val="00BF23E9"/>
    <w:rsid w:val="00C239EF"/>
    <w:rsid w:val="00C50457"/>
    <w:rsid w:val="00CB7DCD"/>
    <w:rsid w:val="00D1292E"/>
    <w:rsid w:val="00D71275"/>
    <w:rsid w:val="00D73570"/>
    <w:rsid w:val="00DA1C5C"/>
    <w:rsid w:val="00E012E2"/>
    <w:rsid w:val="00E2277D"/>
    <w:rsid w:val="00EC4CAD"/>
    <w:rsid w:val="00EE7868"/>
    <w:rsid w:val="00EF690B"/>
    <w:rsid w:val="00F179C4"/>
    <w:rsid w:val="00F435E6"/>
    <w:rsid w:val="00F53809"/>
    <w:rsid w:val="00F54AD4"/>
    <w:rsid w:val="00F56830"/>
    <w:rsid w:val="00FA7C0E"/>
    <w:rsid w:val="00FF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B112-FDA3-4E98-830F-DB65D939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C2"/>
    <w:pPr>
      <w:widowControl w:val="0"/>
      <w:suppressAutoHyphens/>
    </w:pPr>
    <w:rPr>
      <w:rFonts w:ascii="Arial" w:eastAsia="Times New Roman" w:hAnsi="Arial" w:cs="Mangal"/>
      <w:kern w:val="2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B6B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2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kern w:val="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5B6B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kern w:val="1"/>
      <w:sz w:val="26"/>
      <w:szCs w:val="23"/>
    </w:rPr>
  </w:style>
  <w:style w:type="paragraph" w:styleId="4">
    <w:name w:val="heading 4"/>
    <w:basedOn w:val="a"/>
    <w:next w:val="a"/>
    <w:link w:val="40"/>
    <w:uiPriority w:val="9"/>
    <w:unhideWhenUsed/>
    <w:qFormat/>
    <w:rsid w:val="005B6B2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2B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5B6B2B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paragraph" w:styleId="a3">
    <w:name w:val="No Spacing"/>
    <w:link w:val="a4"/>
    <w:uiPriority w:val="1"/>
    <w:qFormat/>
    <w:rsid w:val="005B6B2B"/>
    <w:pPr>
      <w:widowControl w:val="0"/>
      <w:suppressAutoHyphens/>
    </w:pPr>
    <w:rPr>
      <w:rFonts w:ascii="Arial" w:hAnsi="Arial" w:cs="Mangal"/>
      <w:kern w:val="1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B6B2B"/>
    <w:pPr>
      <w:ind w:left="708"/>
    </w:pPr>
    <w:rPr>
      <w:rFonts w:eastAsia="Lucida Sans Unicode"/>
      <w:kern w:val="1"/>
    </w:rPr>
  </w:style>
  <w:style w:type="character" w:customStyle="1" w:styleId="20">
    <w:name w:val="Заголовок 2 Знак"/>
    <w:basedOn w:val="a0"/>
    <w:link w:val="2"/>
    <w:uiPriority w:val="9"/>
    <w:semiHidden/>
    <w:rsid w:val="005B6B2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5B6B2B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Cs w:val="24"/>
      <w:lang w:eastAsia="hi-IN" w:bidi="hi-IN"/>
    </w:rPr>
  </w:style>
  <w:style w:type="character" w:styleId="a6">
    <w:name w:val="Strong"/>
    <w:basedOn w:val="a0"/>
    <w:uiPriority w:val="22"/>
    <w:qFormat/>
    <w:rsid w:val="005B6B2B"/>
    <w:rPr>
      <w:b/>
      <w:bCs/>
    </w:rPr>
  </w:style>
  <w:style w:type="character" w:styleId="a7">
    <w:name w:val="Emphasis"/>
    <w:basedOn w:val="a0"/>
    <w:qFormat/>
    <w:rsid w:val="005B6B2B"/>
    <w:rPr>
      <w:i/>
      <w:iCs/>
    </w:rPr>
  </w:style>
  <w:style w:type="character" w:styleId="a8">
    <w:name w:val="Subtle Emphasis"/>
    <w:basedOn w:val="a0"/>
    <w:uiPriority w:val="19"/>
    <w:qFormat/>
    <w:rsid w:val="005B6B2B"/>
    <w:rPr>
      <w:i/>
      <w:iCs/>
      <w:color w:val="808080" w:themeColor="text1" w:themeTint="7F"/>
    </w:rPr>
  </w:style>
  <w:style w:type="character" w:customStyle="1" w:styleId="a4">
    <w:name w:val="Без интервала Знак"/>
    <w:basedOn w:val="a0"/>
    <w:link w:val="a3"/>
    <w:uiPriority w:val="1"/>
    <w:rsid w:val="007056C2"/>
    <w:rPr>
      <w:rFonts w:ascii="Arial" w:hAnsi="Arial" w:cs="Mangal"/>
      <w:kern w:val="1"/>
      <w:szCs w:val="24"/>
      <w:lang w:eastAsia="hi-IN" w:bidi="hi-IN"/>
    </w:rPr>
  </w:style>
  <w:style w:type="paragraph" w:styleId="a9">
    <w:name w:val="Normal (Web)"/>
    <w:basedOn w:val="a"/>
    <w:uiPriority w:val="99"/>
    <w:rsid w:val="007056C2"/>
    <w:pPr>
      <w:widowControl/>
      <w:suppressAutoHyphens w:val="0"/>
      <w:spacing w:before="100" w:beforeAutospacing="1" w:after="100" w:afterAutospacing="1"/>
    </w:pPr>
    <w:rPr>
      <w:rFonts w:ascii="Times New Roman CYR" w:hAnsi="Times New Roman CYR" w:cs="Times New Roman CYR"/>
      <w:kern w:val="0"/>
      <w:sz w:val="24"/>
      <w:lang w:val="ru-RU" w:eastAsia="ru-RU" w:bidi="ar-SA"/>
    </w:rPr>
  </w:style>
  <w:style w:type="paragraph" w:customStyle="1" w:styleId="Textbody">
    <w:name w:val="Text body"/>
    <w:basedOn w:val="a"/>
    <w:rsid w:val="007056C2"/>
    <w:pPr>
      <w:widowControl/>
      <w:suppressAutoHyphens w:val="0"/>
      <w:autoSpaceDN w:val="0"/>
      <w:jc w:val="both"/>
      <w:textAlignment w:val="baseline"/>
    </w:pPr>
    <w:rPr>
      <w:rFonts w:ascii="Times New Roman" w:hAnsi="Times New Roman" w:cs="Times New Roman"/>
      <w:kern w:val="3"/>
      <w:sz w:val="28"/>
      <w:szCs w:val="20"/>
      <w:lang w:eastAsia="ru-RU" w:bidi="ar-SA"/>
    </w:rPr>
  </w:style>
  <w:style w:type="character" w:customStyle="1" w:styleId="A00">
    <w:name w:val="A0"/>
    <w:uiPriority w:val="99"/>
    <w:rsid w:val="00913A20"/>
    <w:rPr>
      <w:rFonts w:cs="Myriad Pro Cond"/>
      <w:color w:val="00000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F53809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3809"/>
    <w:rPr>
      <w:rFonts w:ascii="Arial" w:eastAsia="Times New Roman" w:hAnsi="Arial" w:cs="Mangal"/>
      <w:kern w:val="2"/>
      <w:szCs w:val="24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F53809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3809"/>
    <w:rPr>
      <w:rFonts w:ascii="Arial" w:eastAsia="Times New Roman" w:hAnsi="Arial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Ljubov Grigorijeva</dc:creator>
  <cp:lastModifiedBy>Мария Новак</cp:lastModifiedBy>
  <cp:revision>2</cp:revision>
  <dcterms:created xsi:type="dcterms:W3CDTF">2024-09-02T08:04:00Z</dcterms:created>
  <dcterms:modified xsi:type="dcterms:W3CDTF">2024-09-02T08:04:00Z</dcterms:modified>
</cp:coreProperties>
</file>